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ind w:left="5280"/>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2017</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3"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402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560"/>
        <w:spacing w:after="0" w:line="207" w:lineRule="exact"/>
        <w:tabs>
          <w:tab w:leader="none" w:pos="58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5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October 3, 2017</w:t>
      </w:r>
    </w:p>
    <w:p>
      <w:pPr>
        <w:spacing w:after="0" w:line="23"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16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983615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21"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3075305</wp:posOffset>
            </wp:positionH>
            <wp:positionV relativeFrom="paragraph">
              <wp:posOffset>154940</wp:posOffset>
            </wp:positionV>
            <wp:extent cx="1106170" cy="6261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106170" cy="6261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leads successful syndication of a US$70 million 5-Year Senior Secured</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Amortizing Term Loan for Favorita (Ecuador)</w:t>
      </w:r>
    </w:p>
    <w:p>
      <w:pPr>
        <w:spacing w:after="0" w:line="191"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October 3, 2017 - </w:t>
      </w:r>
      <w:r>
        <w:rPr>
          <w:rFonts w:ascii="Arial" w:cs="Arial" w:eastAsia="Arial" w:hAnsi="Arial"/>
          <w:sz w:val="18"/>
          <w:szCs w:val="18"/>
          <w:color w:val="auto"/>
        </w:rPr>
        <w:t>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the closing of a US$70 million, five year, syndicated loan in favor of Favorita FruitCo. Ltd. (“Favorita”), a leading Ecuadorian agribusiness conglomerate with diversified business activities including bananas, dairy, and fertilizers.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color w:val="auto"/>
        </w:rPr>
        <w:t>Bladex was the Sole Lead Arranger and Bookrunner of the transaction, and will act as the Administrative and Collateral Agent.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loan was launched in August and received strong support from several financial institutions based in Panama, Central America and the Caribbean. Proceeds of the loan will be used to improve the company’s debt maturity profile and finance its ongoing expansion. It was 1.7 times oversubscribed, which allowed Favorita to upsize the facility amount to US$70 million from its original target of US$61.2 million.</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Felipe Suarez, Bladex’s Head of Loan Structuring and Distribution, stated: “We are very pleased with the structuring and syndication of the second international loan facility for Favorita. It provides long term financing and strengthens the existing banking relationships."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 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(ticker symbol: BLX), since 1992, and its shareholders include: central banks,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956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0430" cy="595630"/>
                    </a:xfrm>
                    <a:prstGeom prst="rect">
                      <a:avLst/>
                    </a:prstGeom>
                    <a:noFill/>
                  </pic:spPr>
                </pic:pic>
              </a:graphicData>
            </a:graphic>
          </wp:anchor>
        </w:drawing>
      </w:r>
    </w:p>
    <w:p>
      <w:pPr>
        <w:spacing w:after="0" w:line="246" w:lineRule="exact"/>
        <w:rPr>
          <w:sz w:val="20"/>
          <w:szCs w:val="20"/>
          <w:color w:val="auto"/>
        </w:rPr>
      </w:pPr>
    </w:p>
    <w:p>
      <w:pPr>
        <w:ind w:left="140"/>
        <w:spacing w:after="0"/>
        <w:rPr>
          <w:sz w:val="20"/>
          <w:szCs w:val="20"/>
          <w:color w:val="auto"/>
        </w:rPr>
      </w:pPr>
      <w:r>
        <w:rPr>
          <w:rFonts w:ascii="Arial" w:cs="Arial" w:eastAsia="Arial" w:hAnsi="Arial"/>
          <w:sz w:val="18"/>
          <w:szCs w:val="18"/>
          <w:color w:val="auto"/>
        </w:rPr>
        <w:t>Irma Garrido Arango - Senior Vicepresident, Corporate Development and Investor Relations</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igarrido@bladex.com</w:t>
      </w:r>
      <w:r>
        <w:rPr>
          <w:rFonts w:ascii="Arial" w:cs="Arial" w:eastAsia="Arial" w:hAnsi="Arial"/>
          <w:sz w:val="18"/>
          <w:szCs w:val="18"/>
          <w:color w:val="auto"/>
        </w:rPr>
        <w:t>, Tel.: (+507) 210-8559</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477520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68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2020-01-18T11:25:57Z</dcterms:created>
  <dcterms:modified xsi:type="dcterms:W3CDTF">2020-01-18T11:25:57Z</dcterms:modified>
</cp:coreProperties>
</file>